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72" w:rsidRPr="00495672" w:rsidRDefault="00495672" w:rsidP="00495672">
      <w:pPr>
        <w:pStyle w:val="NoSpacing"/>
        <w:jc w:val="center"/>
        <w:rPr>
          <w:rFonts w:ascii="Rockwell" w:hAnsi="Rockwell"/>
          <w:sz w:val="52"/>
          <w:szCs w:val="28"/>
        </w:rPr>
      </w:pPr>
      <w:r w:rsidRPr="00495672">
        <w:rPr>
          <w:rFonts w:ascii="Rockwell" w:hAnsi="Rockwell"/>
          <w:sz w:val="52"/>
          <w:szCs w:val="28"/>
        </w:rPr>
        <w:t>Human Body</w:t>
      </w:r>
    </w:p>
    <w:p w:rsidR="009E3E7A" w:rsidRDefault="009E3E7A" w:rsidP="00495672">
      <w:pPr>
        <w:pStyle w:val="NoSpacing"/>
        <w:jc w:val="center"/>
        <w:rPr>
          <w:rFonts w:ascii="Rockwell" w:hAnsi="Rockwell"/>
          <w:sz w:val="36"/>
          <w:szCs w:val="28"/>
        </w:rPr>
      </w:pPr>
      <w:r>
        <w:rPr>
          <w:rFonts w:ascii="Rockwell" w:hAnsi="Rockwell"/>
          <w:sz w:val="36"/>
          <w:szCs w:val="28"/>
        </w:rPr>
        <w:t>Digestive &amp; Excretory System Notes</w:t>
      </w:r>
    </w:p>
    <w:p w:rsidR="00631C7E" w:rsidRDefault="00631C7E" w:rsidP="00495672">
      <w:pPr>
        <w:pStyle w:val="NoSpacing"/>
        <w:jc w:val="center"/>
        <w:rPr>
          <w:rFonts w:ascii="Rockwell" w:hAnsi="Rockwell"/>
          <w:sz w:val="36"/>
          <w:szCs w:val="28"/>
        </w:rPr>
      </w:pPr>
    </w:p>
    <w:tbl>
      <w:tblPr>
        <w:tblStyle w:val="TableGrid"/>
        <w:tblW w:w="0" w:type="auto"/>
        <w:tblLook w:val="04A0"/>
      </w:tblPr>
      <w:tblGrid>
        <w:gridCol w:w="1578"/>
        <w:gridCol w:w="2875"/>
        <w:gridCol w:w="6563"/>
      </w:tblGrid>
      <w:tr w:rsidR="008C1CF3" w:rsidTr="008C1CF3">
        <w:tc>
          <w:tcPr>
            <w:tcW w:w="4428" w:type="dxa"/>
            <w:gridSpan w:val="2"/>
          </w:tcPr>
          <w:p w:rsidR="008C1CF3" w:rsidRPr="000F1444" w:rsidRDefault="008C1CF3" w:rsidP="008C1CF3">
            <w:pPr>
              <w:pStyle w:val="NoSpacing"/>
              <w:rPr>
                <w:rFonts w:ascii="Rockwell" w:hAnsi="Rockwell"/>
                <w:sz w:val="36"/>
                <w:szCs w:val="28"/>
              </w:rPr>
            </w:pPr>
            <w:r w:rsidRPr="000F1444">
              <w:rPr>
                <w:rFonts w:ascii="Rockwell" w:hAnsi="Rockwell"/>
                <w:sz w:val="36"/>
                <w:szCs w:val="28"/>
              </w:rPr>
              <w:t>Mouth</w:t>
            </w:r>
          </w:p>
        </w:tc>
        <w:tc>
          <w:tcPr>
            <w:tcW w:w="6588" w:type="dxa"/>
          </w:tcPr>
          <w:p w:rsidR="008C1CF3" w:rsidRPr="008C1CF3" w:rsidRDefault="008C1CF3" w:rsidP="008C1CF3">
            <w:pPr>
              <w:pStyle w:val="NoSpacing"/>
              <w:rPr>
                <w:rFonts w:ascii="Rockwell" w:hAnsi="Rockwell"/>
                <w:sz w:val="24"/>
                <w:szCs w:val="28"/>
              </w:rPr>
            </w:pPr>
            <w:r w:rsidRPr="008C1CF3">
              <w:rPr>
                <w:rFonts w:ascii="Rockwell" w:hAnsi="Rockwell"/>
                <w:sz w:val="24"/>
                <w:szCs w:val="28"/>
              </w:rPr>
              <w:t xml:space="preserve">Even </w:t>
            </w:r>
            <w:r>
              <w:rPr>
                <w:rFonts w:ascii="Rockwell" w:hAnsi="Rockwell"/>
                <w:sz w:val="24"/>
                <w:szCs w:val="28"/>
              </w:rPr>
              <w:t xml:space="preserve">before you eat, when you smell a tasty food, see it, or thinking about it, digestion begins as </w:t>
            </w:r>
            <w:r w:rsidRPr="008C1CF3">
              <w:rPr>
                <w:rFonts w:ascii="Rockwell" w:hAnsi="Rockwell"/>
                <w:b/>
                <w:sz w:val="24"/>
                <w:szCs w:val="28"/>
              </w:rPr>
              <w:t>saliva</w:t>
            </w:r>
            <w:r>
              <w:rPr>
                <w:rFonts w:ascii="Rockwell" w:hAnsi="Rockwell"/>
                <w:sz w:val="24"/>
                <w:szCs w:val="28"/>
              </w:rPr>
              <w:t xml:space="preserve"> begins to form in your mouth.  As you eat, the saliva breaks down the chemicals in the food which makes the food mushy and easy to swallow.</w:t>
            </w:r>
          </w:p>
        </w:tc>
      </w:tr>
      <w:tr w:rsidR="008C1CF3" w:rsidTr="008C1CF3">
        <w:tc>
          <w:tcPr>
            <w:tcW w:w="4428" w:type="dxa"/>
            <w:gridSpan w:val="2"/>
          </w:tcPr>
          <w:p w:rsidR="008C1CF3" w:rsidRPr="000F1444" w:rsidRDefault="008C1CF3" w:rsidP="008C1CF3">
            <w:pPr>
              <w:pStyle w:val="NoSpacing"/>
              <w:rPr>
                <w:rFonts w:ascii="Rockwell" w:hAnsi="Rockwell"/>
                <w:sz w:val="36"/>
                <w:szCs w:val="28"/>
              </w:rPr>
            </w:pPr>
            <w:r w:rsidRPr="000F1444">
              <w:rPr>
                <w:rFonts w:ascii="Rockwell" w:hAnsi="Rockwell"/>
                <w:sz w:val="36"/>
                <w:szCs w:val="28"/>
              </w:rPr>
              <w:t>Tongue and teeth</w:t>
            </w:r>
          </w:p>
        </w:tc>
        <w:tc>
          <w:tcPr>
            <w:tcW w:w="6588" w:type="dxa"/>
          </w:tcPr>
          <w:p w:rsidR="008C1CF3" w:rsidRPr="008C1CF3" w:rsidRDefault="008C1CF3" w:rsidP="008C1CF3">
            <w:pPr>
              <w:pStyle w:val="NoSpacing"/>
              <w:rPr>
                <w:rFonts w:ascii="Rockwell" w:hAnsi="Rockwell"/>
                <w:sz w:val="24"/>
                <w:szCs w:val="28"/>
              </w:rPr>
            </w:pPr>
            <w:r>
              <w:rPr>
                <w:rFonts w:ascii="Rockwell" w:hAnsi="Rockwell"/>
                <w:sz w:val="24"/>
                <w:szCs w:val="28"/>
              </w:rPr>
              <w:t xml:space="preserve">The tongue pushes food around in your mouth while you chew with your teeth.  When you’re ready to swallow, the tongue pushes a tiny bit of </w:t>
            </w:r>
            <w:proofErr w:type="spellStart"/>
            <w:r>
              <w:rPr>
                <w:rFonts w:ascii="Rockwell" w:hAnsi="Rockwell"/>
                <w:sz w:val="24"/>
                <w:szCs w:val="28"/>
              </w:rPr>
              <w:t>mushed</w:t>
            </w:r>
            <w:proofErr w:type="spellEnd"/>
            <w:r>
              <w:rPr>
                <w:rFonts w:ascii="Rockwell" w:hAnsi="Rockwell"/>
                <w:sz w:val="24"/>
                <w:szCs w:val="28"/>
              </w:rPr>
              <w:t xml:space="preserve">-up food called a </w:t>
            </w:r>
            <w:r w:rsidRPr="008C1CF3">
              <w:rPr>
                <w:rFonts w:ascii="Rockwell" w:hAnsi="Rockwell"/>
                <w:b/>
                <w:sz w:val="24"/>
                <w:szCs w:val="28"/>
              </w:rPr>
              <w:t>BOLUS</w:t>
            </w:r>
            <w:r>
              <w:rPr>
                <w:rFonts w:ascii="Rockwell" w:hAnsi="Rockwell"/>
                <w:sz w:val="24"/>
                <w:szCs w:val="28"/>
              </w:rPr>
              <w:t xml:space="preserve"> toward the back of your throat (</w:t>
            </w:r>
            <w:r w:rsidRPr="008C1CF3">
              <w:rPr>
                <w:rFonts w:ascii="Rockwell" w:hAnsi="Rockwell"/>
                <w:b/>
                <w:sz w:val="24"/>
                <w:szCs w:val="28"/>
              </w:rPr>
              <w:t>pharynx</w:t>
            </w:r>
            <w:r>
              <w:rPr>
                <w:rFonts w:ascii="Rockwell" w:hAnsi="Rockwell"/>
                <w:sz w:val="24"/>
                <w:szCs w:val="28"/>
              </w:rPr>
              <w:t xml:space="preserve">) and into the opening of your </w:t>
            </w:r>
            <w:r w:rsidRPr="008C1CF3">
              <w:rPr>
                <w:rFonts w:ascii="Rockwell" w:hAnsi="Rockwell"/>
                <w:b/>
                <w:sz w:val="24"/>
                <w:szCs w:val="28"/>
              </w:rPr>
              <w:t>ESOPHAGUS</w:t>
            </w:r>
            <w:r>
              <w:rPr>
                <w:rFonts w:ascii="Rockwell" w:hAnsi="Rockwell"/>
                <w:sz w:val="24"/>
                <w:szCs w:val="28"/>
              </w:rPr>
              <w:t xml:space="preserve"> (the second part of the digestive tract).</w:t>
            </w:r>
          </w:p>
        </w:tc>
      </w:tr>
      <w:tr w:rsidR="008C1CF3" w:rsidTr="008C1CF3">
        <w:tc>
          <w:tcPr>
            <w:tcW w:w="1548" w:type="dxa"/>
            <w:vMerge w:val="restart"/>
          </w:tcPr>
          <w:p w:rsidR="008C1CF3" w:rsidRPr="000F1444" w:rsidRDefault="008C1CF3" w:rsidP="008C1CF3">
            <w:pPr>
              <w:pStyle w:val="NoSpacing"/>
              <w:rPr>
                <w:rFonts w:ascii="Rockwell" w:hAnsi="Rockwell"/>
                <w:sz w:val="36"/>
                <w:szCs w:val="28"/>
              </w:rPr>
            </w:pPr>
            <w:r w:rsidRPr="000F1444">
              <w:rPr>
                <w:rFonts w:ascii="Rockwell" w:hAnsi="Rockwell"/>
                <w:sz w:val="36"/>
                <w:szCs w:val="28"/>
              </w:rPr>
              <w:t>Pharynx</w:t>
            </w:r>
          </w:p>
        </w:tc>
        <w:tc>
          <w:tcPr>
            <w:tcW w:w="2880" w:type="dxa"/>
          </w:tcPr>
          <w:p w:rsidR="008C1CF3" w:rsidRPr="000F1444" w:rsidRDefault="008C1CF3" w:rsidP="008C1CF3">
            <w:pPr>
              <w:pStyle w:val="NoSpacing"/>
              <w:rPr>
                <w:rFonts w:ascii="Rockwell" w:hAnsi="Rockwell"/>
                <w:sz w:val="36"/>
                <w:szCs w:val="28"/>
              </w:rPr>
            </w:pPr>
            <w:r w:rsidRPr="000F1444">
              <w:rPr>
                <w:rFonts w:ascii="Rockwell" w:hAnsi="Rockwell"/>
                <w:sz w:val="36"/>
                <w:szCs w:val="28"/>
              </w:rPr>
              <w:t>Esophagus</w:t>
            </w:r>
          </w:p>
          <w:p w:rsidR="008C1CF3" w:rsidRPr="000F1444" w:rsidRDefault="008C1CF3" w:rsidP="008C1CF3">
            <w:pPr>
              <w:pStyle w:val="NoSpacing"/>
              <w:rPr>
                <w:rFonts w:ascii="Rockwell" w:hAnsi="Rockwell"/>
                <w:sz w:val="24"/>
                <w:szCs w:val="28"/>
              </w:rPr>
            </w:pPr>
            <w:r w:rsidRPr="000F1444">
              <w:rPr>
                <w:rFonts w:ascii="Rockwell" w:hAnsi="Rockwell"/>
                <w:sz w:val="24"/>
                <w:szCs w:val="28"/>
              </w:rPr>
              <w:t>(Digestive System)</w:t>
            </w:r>
          </w:p>
          <w:p w:rsidR="008C1CF3" w:rsidRPr="000F1444" w:rsidRDefault="008C1CF3" w:rsidP="008C1CF3">
            <w:pPr>
              <w:tabs>
                <w:tab w:val="left" w:pos="1103"/>
              </w:tabs>
              <w:rPr>
                <w:sz w:val="36"/>
              </w:rPr>
            </w:pPr>
            <w:r w:rsidRPr="000F1444">
              <w:rPr>
                <w:sz w:val="36"/>
              </w:rPr>
              <w:tab/>
            </w:r>
          </w:p>
        </w:tc>
        <w:tc>
          <w:tcPr>
            <w:tcW w:w="6588" w:type="dxa"/>
          </w:tcPr>
          <w:p w:rsidR="008C1CF3" w:rsidRDefault="008C1CF3" w:rsidP="008C1CF3">
            <w:pPr>
              <w:pStyle w:val="NoSpacing"/>
              <w:rPr>
                <w:rFonts w:ascii="Rockwell" w:hAnsi="Rockwell"/>
                <w:sz w:val="24"/>
                <w:szCs w:val="28"/>
              </w:rPr>
            </w:pPr>
            <w:r>
              <w:rPr>
                <w:rFonts w:ascii="Rockwell" w:hAnsi="Rockwell"/>
                <w:sz w:val="24"/>
                <w:szCs w:val="28"/>
              </w:rPr>
              <w:t>Like a stretchy pipe that’s about 10 in. (25 cm.) long, it moves food from the back of your throat (</w:t>
            </w:r>
            <w:r w:rsidRPr="008C1CF3">
              <w:rPr>
                <w:rFonts w:ascii="Rockwell" w:hAnsi="Rockwell"/>
                <w:b/>
                <w:sz w:val="24"/>
                <w:szCs w:val="28"/>
              </w:rPr>
              <w:t>pharynx</w:t>
            </w:r>
            <w:r>
              <w:rPr>
                <w:rFonts w:ascii="Rockwell" w:hAnsi="Rockwell"/>
                <w:sz w:val="24"/>
                <w:szCs w:val="28"/>
              </w:rPr>
              <w:t>) to your stomach.</w:t>
            </w:r>
          </w:p>
        </w:tc>
      </w:tr>
      <w:tr w:rsidR="008C1CF3" w:rsidTr="008C1CF3">
        <w:tc>
          <w:tcPr>
            <w:tcW w:w="1548" w:type="dxa"/>
            <w:vMerge/>
          </w:tcPr>
          <w:p w:rsidR="008C1CF3" w:rsidRPr="000F1444" w:rsidRDefault="008C1CF3" w:rsidP="008C1CF3">
            <w:pPr>
              <w:pStyle w:val="NoSpacing"/>
              <w:rPr>
                <w:rFonts w:ascii="Rockwell" w:hAnsi="Rockwell"/>
                <w:sz w:val="36"/>
                <w:szCs w:val="28"/>
              </w:rPr>
            </w:pPr>
          </w:p>
        </w:tc>
        <w:tc>
          <w:tcPr>
            <w:tcW w:w="2880" w:type="dxa"/>
          </w:tcPr>
          <w:p w:rsidR="008C1CF3" w:rsidRPr="000F1444" w:rsidRDefault="008C1CF3" w:rsidP="008C1CF3">
            <w:pPr>
              <w:pStyle w:val="NoSpacing"/>
              <w:rPr>
                <w:rFonts w:ascii="Rockwell" w:hAnsi="Rockwell"/>
                <w:sz w:val="36"/>
                <w:szCs w:val="28"/>
              </w:rPr>
            </w:pPr>
            <w:r w:rsidRPr="000F1444">
              <w:rPr>
                <w:rFonts w:ascii="Rockwell" w:hAnsi="Rockwell"/>
                <w:sz w:val="36"/>
                <w:szCs w:val="28"/>
              </w:rPr>
              <w:t>Trachea</w:t>
            </w:r>
          </w:p>
          <w:p w:rsidR="008C1CF3" w:rsidRPr="000F1444" w:rsidRDefault="008C1CF3" w:rsidP="008C1CF3">
            <w:pPr>
              <w:pStyle w:val="NoSpacing"/>
              <w:rPr>
                <w:rFonts w:ascii="Rockwell" w:hAnsi="Rockwell"/>
                <w:sz w:val="36"/>
                <w:szCs w:val="28"/>
              </w:rPr>
            </w:pPr>
            <w:r w:rsidRPr="000F1444">
              <w:rPr>
                <w:rFonts w:ascii="Rockwell" w:hAnsi="Rockwell"/>
                <w:sz w:val="24"/>
                <w:szCs w:val="28"/>
              </w:rPr>
              <w:t>(Respiratory System)</w:t>
            </w:r>
          </w:p>
        </w:tc>
        <w:tc>
          <w:tcPr>
            <w:tcW w:w="6588" w:type="dxa"/>
          </w:tcPr>
          <w:p w:rsidR="008C1CF3" w:rsidRDefault="008C1CF3" w:rsidP="008C1CF3">
            <w:pPr>
              <w:pStyle w:val="NoSpacing"/>
              <w:rPr>
                <w:rFonts w:ascii="Rockwell" w:hAnsi="Rockwell"/>
                <w:sz w:val="24"/>
                <w:szCs w:val="28"/>
              </w:rPr>
            </w:pPr>
            <w:r>
              <w:rPr>
                <w:rFonts w:ascii="Rockwell" w:hAnsi="Rockwell"/>
                <w:sz w:val="24"/>
                <w:szCs w:val="28"/>
              </w:rPr>
              <w:t>Windpipe; allows air to come in and out of your body (inhalation).</w:t>
            </w:r>
          </w:p>
        </w:tc>
      </w:tr>
      <w:tr w:rsidR="008C1CF3" w:rsidTr="008C1CF3">
        <w:tc>
          <w:tcPr>
            <w:tcW w:w="4428" w:type="dxa"/>
            <w:gridSpan w:val="2"/>
          </w:tcPr>
          <w:p w:rsidR="008C1CF3" w:rsidRPr="000F1444" w:rsidRDefault="008C1CF3" w:rsidP="008C1CF3">
            <w:pPr>
              <w:pStyle w:val="NoSpacing"/>
              <w:rPr>
                <w:rFonts w:ascii="Rockwell" w:hAnsi="Rockwell"/>
                <w:sz w:val="36"/>
                <w:szCs w:val="28"/>
              </w:rPr>
            </w:pPr>
            <w:r w:rsidRPr="000F1444">
              <w:rPr>
                <w:rFonts w:ascii="Rockwell" w:hAnsi="Rockwell"/>
                <w:sz w:val="36"/>
                <w:szCs w:val="28"/>
              </w:rPr>
              <w:t>Epiglottis</w:t>
            </w:r>
          </w:p>
        </w:tc>
        <w:tc>
          <w:tcPr>
            <w:tcW w:w="6588" w:type="dxa"/>
          </w:tcPr>
          <w:p w:rsidR="008C1CF3" w:rsidRDefault="008C1CF3" w:rsidP="008C1CF3">
            <w:pPr>
              <w:pStyle w:val="NoSpacing"/>
              <w:rPr>
                <w:rFonts w:ascii="Rockwell" w:hAnsi="Rockwell"/>
                <w:sz w:val="24"/>
                <w:szCs w:val="28"/>
              </w:rPr>
            </w:pPr>
            <w:r>
              <w:rPr>
                <w:rFonts w:ascii="Rockwell" w:hAnsi="Rockwell"/>
                <w:sz w:val="24"/>
                <w:szCs w:val="28"/>
              </w:rPr>
              <w:t xml:space="preserve">A special “flap” that “flops” over the opening of your windpipe when you swallow a </w:t>
            </w:r>
            <w:r w:rsidRPr="008C1CF3">
              <w:rPr>
                <w:rFonts w:ascii="Rockwell" w:hAnsi="Rockwell"/>
                <w:b/>
                <w:sz w:val="24"/>
                <w:szCs w:val="28"/>
              </w:rPr>
              <w:t>BOLUS</w:t>
            </w:r>
            <w:r>
              <w:rPr>
                <w:rFonts w:ascii="Rockwell" w:hAnsi="Rockwell"/>
                <w:sz w:val="24"/>
                <w:szCs w:val="28"/>
              </w:rPr>
              <w:t xml:space="preserve"> (small ball of </w:t>
            </w:r>
            <w:proofErr w:type="spellStart"/>
            <w:r>
              <w:rPr>
                <w:rFonts w:ascii="Rockwell" w:hAnsi="Rockwell"/>
                <w:sz w:val="24"/>
                <w:szCs w:val="28"/>
              </w:rPr>
              <w:t>mushed</w:t>
            </w:r>
            <w:proofErr w:type="spellEnd"/>
            <w:r>
              <w:rPr>
                <w:rFonts w:ascii="Rockwell" w:hAnsi="Rockwell"/>
                <w:sz w:val="24"/>
                <w:szCs w:val="28"/>
              </w:rPr>
              <w:t xml:space="preserve">-up food or liquid) to make sure the food enters the </w:t>
            </w:r>
            <w:r w:rsidRPr="008C1CF3">
              <w:rPr>
                <w:rFonts w:ascii="Rockwell" w:hAnsi="Rockwell"/>
                <w:b/>
                <w:sz w:val="24"/>
                <w:szCs w:val="28"/>
              </w:rPr>
              <w:t>esophagus</w:t>
            </w:r>
            <w:r>
              <w:rPr>
                <w:rFonts w:ascii="Rockwell" w:hAnsi="Rockwell"/>
                <w:sz w:val="24"/>
                <w:szCs w:val="28"/>
              </w:rPr>
              <w:t xml:space="preserve"> and not the </w:t>
            </w:r>
            <w:r w:rsidRPr="008C1CF3">
              <w:rPr>
                <w:rFonts w:ascii="Rockwell" w:hAnsi="Rockwell"/>
                <w:b/>
                <w:sz w:val="24"/>
                <w:szCs w:val="28"/>
              </w:rPr>
              <w:t>trachea</w:t>
            </w:r>
            <w:r>
              <w:rPr>
                <w:rFonts w:ascii="Rockwell" w:hAnsi="Rockwell"/>
                <w:sz w:val="24"/>
                <w:szCs w:val="28"/>
              </w:rPr>
              <w:t>.</w:t>
            </w:r>
          </w:p>
        </w:tc>
      </w:tr>
      <w:tr w:rsidR="00136D6C" w:rsidTr="008C1CF3">
        <w:tc>
          <w:tcPr>
            <w:tcW w:w="4428" w:type="dxa"/>
            <w:gridSpan w:val="2"/>
          </w:tcPr>
          <w:p w:rsidR="00136D6C" w:rsidRPr="000F1444" w:rsidRDefault="00136D6C" w:rsidP="008C1CF3">
            <w:pPr>
              <w:pStyle w:val="NoSpacing"/>
              <w:rPr>
                <w:rFonts w:ascii="Rockwell" w:hAnsi="Rockwell"/>
                <w:sz w:val="36"/>
                <w:szCs w:val="28"/>
              </w:rPr>
            </w:pPr>
            <w:r w:rsidRPr="000F1444">
              <w:rPr>
                <w:rFonts w:ascii="Rockwell" w:hAnsi="Rockwell"/>
                <w:sz w:val="36"/>
                <w:szCs w:val="28"/>
              </w:rPr>
              <w:t>Stomach</w:t>
            </w:r>
          </w:p>
        </w:tc>
        <w:tc>
          <w:tcPr>
            <w:tcW w:w="6588" w:type="dxa"/>
          </w:tcPr>
          <w:p w:rsidR="00136D6C" w:rsidRPr="00136D6C" w:rsidRDefault="00136D6C" w:rsidP="00136D6C">
            <w:pPr>
              <w:pStyle w:val="NoSpacing"/>
              <w:rPr>
                <w:rFonts w:ascii="Rockwell" w:hAnsi="Rockwell"/>
                <w:sz w:val="24"/>
                <w:szCs w:val="28"/>
              </w:rPr>
            </w:pPr>
            <w:r>
              <w:rPr>
                <w:rFonts w:ascii="Rockwell" w:hAnsi="Rockwell"/>
                <w:sz w:val="24"/>
                <w:szCs w:val="28"/>
              </w:rPr>
              <w:t xml:space="preserve">Like a mixer, churns and mashes together all the boluses (small balls of food) into smaller pieces with the help of the strong muscles in the walls of the stomach and </w:t>
            </w:r>
            <w:r>
              <w:rPr>
                <w:rFonts w:ascii="Rockwell" w:hAnsi="Rockwell"/>
                <w:b/>
                <w:sz w:val="24"/>
                <w:szCs w:val="28"/>
              </w:rPr>
              <w:t>gastric</w:t>
            </w:r>
            <w:r>
              <w:rPr>
                <w:rFonts w:ascii="Rockwell" w:hAnsi="Rockwell"/>
                <w:sz w:val="24"/>
                <w:szCs w:val="28"/>
              </w:rPr>
              <w:t xml:space="preserve"> </w:t>
            </w:r>
            <w:r w:rsidRPr="00136D6C">
              <w:rPr>
                <w:rFonts w:ascii="Rockwell" w:hAnsi="Rockwell"/>
                <w:b/>
                <w:sz w:val="24"/>
                <w:szCs w:val="28"/>
              </w:rPr>
              <w:t>juices</w:t>
            </w:r>
            <w:r>
              <w:rPr>
                <w:rFonts w:ascii="Rockwell" w:hAnsi="Rockwell"/>
                <w:sz w:val="24"/>
                <w:szCs w:val="28"/>
              </w:rPr>
              <w:t xml:space="preserve"> that also come from the walls.  </w:t>
            </w:r>
            <w:r w:rsidRPr="00136D6C">
              <w:rPr>
                <w:rFonts w:ascii="Rockwell" w:hAnsi="Rockwell"/>
                <w:b/>
                <w:sz w:val="24"/>
                <w:szCs w:val="28"/>
              </w:rPr>
              <w:t xml:space="preserve">Gastric juices </w:t>
            </w:r>
            <w:r>
              <w:rPr>
                <w:rFonts w:ascii="Rockwell" w:hAnsi="Rockwell"/>
                <w:sz w:val="24"/>
                <w:szCs w:val="28"/>
              </w:rPr>
              <w:t>also help kill bacteria that might be in food.</w:t>
            </w:r>
          </w:p>
        </w:tc>
      </w:tr>
      <w:tr w:rsidR="00136D6C" w:rsidTr="008C1CF3">
        <w:tc>
          <w:tcPr>
            <w:tcW w:w="4428" w:type="dxa"/>
            <w:gridSpan w:val="2"/>
          </w:tcPr>
          <w:p w:rsidR="00136D6C" w:rsidRPr="000F1444" w:rsidRDefault="00136D6C" w:rsidP="008C1CF3">
            <w:pPr>
              <w:pStyle w:val="NoSpacing"/>
              <w:rPr>
                <w:rFonts w:ascii="Rockwell" w:hAnsi="Rockwell"/>
                <w:sz w:val="36"/>
                <w:szCs w:val="28"/>
              </w:rPr>
            </w:pPr>
            <w:r w:rsidRPr="000F1444">
              <w:rPr>
                <w:rFonts w:ascii="Rockwell" w:hAnsi="Rockwell"/>
                <w:sz w:val="36"/>
                <w:szCs w:val="28"/>
              </w:rPr>
              <w:t>Small Intestine</w:t>
            </w:r>
          </w:p>
        </w:tc>
        <w:tc>
          <w:tcPr>
            <w:tcW w:w="6588" w:type="dxa"/>
          </w:tcPr>
          <w:p w:rsidR="00136D6C" w:rsidRDefault="00136D6C" w:rsidP="00136D6C">
            <w:pPr>
              <w:pStyle w:val="NoSpacing"/>
              <w:rPr>
                <w:rFonts w:ascii="Rockwell" w:hAnsi="Rockwell"/>
                <w:sz w:val="24"/>
                <w:szCs w:val="28"/>
              </w:rPr>
            </w:pPr>
            <w:r>
              <w:rPr>
                <w:rFonts w:ascii="Rockwell" w:hAnsi="Rockwell"/>
                <w:sz w:val="24"/>
                <w:szCs w:val="28"/>
              </w:rPr>
              <w:t>A long tube packed beneath your stomach about 1.5-2 inches around and if an adult’s were stretched out, it would be about 22 feet long (6.7 meters)!  Breaks down the food mixture more so your body can absorb all the vitamins, minerals, proteins, carbohydrates, an</w:t>
            </w:r>
            <w:r w:rsidR="002A0725">
              <w:rPr>
                <w:rFonts w:ascii="Rockwell" w:hAnsi="Rockwell"/>
                <w:sz w:val="24"/>
                <w:szCs w:val="28"/>
              </w:rPr>
              <w:t>d fats.</w:t>
            </w:r>
          </w:p>
          <w:p w:rsidR="002A0725" w:rsidRDefault="002A0725" w:rsidP="00136D6C">
            <w:pPr>
              <w:pStyle w:val="NoSpacing"/>
              <w:rPr>
                <w:rFonts w:ascii="Rockwell" w:hAnsi="Rockwell"/>
                <w:sz w:val="24"/>
                <w:szCs w:val="28"/>
              </w:rPr>
            </w:pPr>
            <w:r>
              <w:rPr>
                <w:rFonts w:ascii="Rockwell" w:hAnsi="Rockwell"/>
                <w:sz w:val="24"/>
                <w:szCs w:val="28"/>
              </w:rPr>
              <w:t>(The pancreas, liver, and gallbladder help extract…)</w:t>
            </w:r>
          </w:p>
        </w:tc>
      </w:tr>
      <w:tr w:rsidR="00136D6C" w:rsidTr="008C1CF3">
        <w:tc>
          <w:tcPr>
            <w:tcW w:w="4428" w:type="dxa"/>
            <w:gridSpan w:val="2"/>
          </w:tcPr>
          <w:p w:rsidR="00136D6C" w:rsidRPr="000F1444" w:rsidRDefault="00136D6C" w:rsidP="008C1CF3">
            <w:pPr>
              <w:pStyle w:val="NoSpacing"/>
              <w:rPr>
                <w:rFonts w:ascii="Rockwell" w:hAnsi="Rockwell"/>
                <w:sz w:val="36"/>
                <w:szCs w:val="28"/>
              </w:rPr>
            </w:pPr>
            <w:r w:rsidRPr="000F1444">
              <w:rPr>
                <w:rFonts w:ascii="Rockwell" w:hAnsi="Rockwell"/>
                <w:sz w:val="36"/>
                <w:szCs w:val="28"/>
              </w:rPr>
              <w:t>Large Intestine</w:t>
            </w:r>
          </w:p>
        </w:tc>
        <w:tc>
          <w:tcPr>
            <w:tcW w:w="6588" w:type="dxa"/>
          </w:tcPr>
          <w:p w:rsidR="00136D6C" w:rsidRPr="00136D6C" w:rsidRDefault="00136D6C" w:rsidP="00136D6C">
            <w:pPr>
              <w:pStyle w:val="NoSpacing"/>
              <w:rPr>
                <w:rFonts w:ascii="Rockwell" w:hAnsi="Rockwell"/>
                <w:sz w:val="24"/>
                <w:szCs w:val="28"/>
              </w:rPr>
            </w:pPr>
            <w:r>
              <w:rPr>
                <w:rFonts w:ascii="Rockwell" w:hAnsi="Rockwell"/>
                <w:sz w:val="24"/>
                <w:szCs w:val="28"/>
              </w:rPr>
              <w:t xml:space="preserve">ALMOST the last stop on the digestive tract.  It’s a long tube about 3-4 inches around and packed into the body, but would measure 5 feet (about 1.5 meters) if you spread it out.  Has a tiny tube with a closed end coming off it called the </w:t>
            </w:r>
            <w:proofErr w:type="gramStart"/>
            <w:r>
              <w:rPr>
                <w:rFonts w:ascii="Rockwell" w:hAnsi="Rockwell"/>
                <w:b/>
                <w:sz w:val="24"/>
                <w:szCs w:val="28"/>
              </w:rPr>
              <w:t>appendix</w:t>
            </w:r>
            <w:r>
              <w:rPr>
                <w:rFonts w:ascii="Rockwell" w:hAnsi="Rockwell"/>
                <w:sz w:val="24"/>
                <w:szCs w:val="28"/>
              </w:rPr>
              <w:t>.</w:t>
            </w:r>
            <w:proofErr w:type="gramEnd"/>
            <w:r>
              <w:rPr>
                <w:rFonts w:ascii="Rockwell" w:hAnsi="Rockwell"/>
                <w:sz w:val="24"/>
                <w:szCs w:val="28"/>
              </w:rPr>
              <w:t xml:space="preserve">  When nutrients are removed from the food mixture, all the waste passes through the large intestine and into the… you guessed it…</w:t>
            </w:r>
          </w:p>
        </w:tc>
      </w:tr>
      <w:tr w:rsidR="00136D6C" w:rsidTr="008C1CF3">
        <w:tc>
          <w:tcPr>
            <w:tcW w:w="4428" w:type="dxa"/>
            <w:gridSpan w:val="2"/>
          </w:tcPr>
          <w:p w:rsidR="00136D6C" w:rsidRPr="000F1444" w:rsidRDefault="00136D6C" w:rsidP="008C1CF3">
            <w:pPr>
              <w:pStyle w:val="NoSpacing"/>
              <w:rPr>
                <w:rFonts w:ascii="Rockwell" w:hAnsi="Rockwell"/>
                <w:sz w:val="36"/>
                <w:szCs w:val="28"/>
              </w:rPr>
            </w:pPr>
            <w:r w:rsidRPr="000F1444">
              <w:rPr>
                <w:rFonts w:ascii="Rockwell" w:hAnsi="Rockwell"/>
                <w:sz w:val="36"/>
                <w:szCs w:val="28"/>
              </w:rPr>
              <w:t>Appendix</w:t>
            </w:r>
          </w:p>
        </w:tc>
        <w:tc>
          <w:tcPr>
            <w:tcW w:w="6588" w:type="dxa"/>
          </w:tcPr>
          <w:p w:rsidR="00136D6C" w:rsidRDefault="00136D6C" w:rsidP="00136D6C">
            <w:pPr>
              <w:pStyle w:val="NoSpacing"/>
              <w:rPr>
                <w:rFonts w:ascii="Rockwell" w:hAnsi="Rockwell"/>
                <w:sz w:val="24"/>
                <w:szCs w:val="28"/>
              </w:rPr>
            </w:pPr>
            <w:r>
              <w:rPr>
                <w:rFonts w:ascii="Rockwell" w:hAnsi="Rockwell"/>
                <w:sz w:val="24"/>
                <w:szCs w:val="28"/>
              </w:rPr>
              <w:t>A tiny tube with a closed end attached to the large intestine.  It’s a part of the digestive tract, but doesn’t seem to do anything, although it can cause major problems (like appendicitis) because it can get infected and need to be removed.</w:t>
            </w:r>
          </w:p>
        </w:tc>
      </w:tr>
    </w:tbl>
    <w:p w:rsidR="00467E5D" w:rsidRPr="009E3E7A" w:rsidRDefault="00495672" w:rsidP="00495672">
      <w:pPr>
        <w:pStyle w:val="NoSpacing"/>
        <w:jc w:val="center"/>
        <w:rPr>
          <w:rFonts w:ascii="Rockwell" w:hAnsi="Rockwell"/>
          <w:i/>
          <w:sz w:val="36"/>
          <w:szCs w:val="28"/>
        </w:rPr>
      </w:pPr>
      <w:proofErr w:type="spellStart"/>
      <w:r w:rsidRPr="009E3E7A">
        <w:rPr>
          <w:rFonts w:ascii="Rockwell" w:hAnsi="Rockwell"/>
          <w:i/>
          <w:sz w:val="36"/>
          <w:szCs w:val="28"/>
        </w:rPr>
        <w:lastRenderedPageBreak/>
        <w:t>MyPlate</w:t>
      </w:r>
      <w:proofErr w:type="spellEnd"/>
      <w:r w:rsidRPr="009E3E7A">
        <w:rPr>
          <w:rFonts w:ascii="Rockwell" w:hAnsi="Rockwell"/>
          <w:i/>
          <w:sz w:val="36"/>
          <w:szCs w:val="28"/>
        </w:rPr>
        <w:t xml:space="preserve"> Nutrition Information</w:t>
      </w:r>
    </w:p>
    <w:p w:rsidR="00495672" w:rsidRPr="00495672" w:rsidRDefault="00495672" w:rsidP="00495672">
      <w:pPr>
        <w:pStyle w:val="NoSpacing"/>
        <w:jc w:val="center"/>
        <w:rPr>
          <w:rFonts w:ascii="Rockwell" w:hAnsi="Rockwell"/>
          <w:sz w:val="28"/>
          <w:szCs w:val="28"/>
        </w:rPr>
      </w:pPr>
    </w:p>
    <w:tbl>
      <w:tblPr>
        <w:tblStyle w:val="TableGrid"/>
        <w:tblW w:w="0" w:type="auto"/>
        <w:tblInd w:w="90" w:type="dxa"/>
        <w:tblLayout w:type="fixed"/>
        <w:tblLook w:val="04A0"/>
      </w:tblPr>
      <w:tblGrid>
        <w:gridCol w:w="4878"/>
        <w:gridCol w:w="3510"/>
        <w:gridCol w:w="2538"/>
      </w:tblGrid>
      <w:tr w:rsidR="009E3E7A" w:rsidRPr="009E3E7A" w:rsidTr="009D4077">
        <w:tc>
          <w:tcPr>
            <w:tcW w:w="4878" w:type="dxa"/>
            <w:shd w:val="clear" w:color="auto" w:fill="000000" w:themeFill="text1"/>
          </w:tcPr>
          <w:p w:rsidR="00495672" w:rsidRPr="009E3E7A" w:rsidRDefault="00495672" w:rsidP="009E3E7A">
            <w:pPr>
              <w:pStyle w:val="NoSpacing"/>
              <w:jc w:val="center"/>
              <w:rPr>
                <w:rFonts w:ascii="Rockwell" w:hAnsi="Rockwell"/>
                <w:b/>
                <w:sz w:val="28"/>
              </w:rPr>
            </w:pPr>
            <w:r w:rsidRPr="009E3E7A">
              <w:rPr>
                <w:rFonts w:ascii="Rockwell" w:hAnsi="Rockwell"/>
                <w:b/>
                <w:sz w:val="28"/>
              </w:rPr>
              <w:t>Food Group</w:t>
            </w:r>
          </w:p>
        </w:tc>
        <w:tc>
          <w:tcPr>
            <w:tcW w:w="3510" w:type="dxa"/>
            <w:shd w:val="clear" w:color="auto" w:fill="000000" w:themeFill="text1"/>
          </w:tcPr>
          <w:p w:rsidR="00495672" w:rsidRPr="009E3E7A" w:rsidRDefault="00495672" w:rsidP="009E3E7A">
            <w:pPr>
              <w:pStyle w:val="NoSpacing"/>
              <w:jc w:val="center"/>
              <w:rPr>
                <w:rFonts w:ascii="Rockwell" w:hAnsi="Rockwell"/>
                <w:b/>
                <w:sz w:val="28"/>
              </w:rPr>
            </w:pPr>
            <w:r w:rsidRPr="009E3E7A">
              <w:rPr>
                <w:rFonts w:ascii="Rockwell" w:hAnsi="Rockwell"/>
                <w:b/>
                <w:sz w:val="28"/>
              </w:rPr>
              <w:t>Portion and Function</w:t>
            </w:r>
          </w:p>
        </w:tc>
        <w:tc>
          <w:tcPr>
            <w:tcW w:w="2538" w:type="dxa"/>
            <w:shd w:val="clear" w:color="auto" w:fill="000000" w:themeFill="text1"/>
          </w:tcPr>
          <w:p w:rsidR="00495672" w:rsidRPr="009E3E7A" w:rsidRDefault="00FF6E4F" w:rsidP="009E3E7A">
            <w:pPr>
              <w:pStyle w:val="NoSpacing"/>
              <w:jc w:val="center"/>
              <w:rPr>
                <w:rFonts w:ascii="Rockwell" w:hAnsi="Rockwell"/>
                <w:b/>
                <w:sz w:val="28"/>
              </w:rPr>
            </w:pPr>
            <w:r w:rsidRPr="009E3E7A">
              <w:rPr>
                <w:rFonts w:ascii="Rockwell" w:hAnsi="Rockwell"/>
                <w:b/>
                <w:sz w:val="28"/>
              </w:rPr>
              <w:t>Examples</w:t>
            </w:r>
          </w:p>
        </w:tc>
      </w:tr>
      <w:tr w:rsidR="00647D7B" w:rsidRPr="009E3E7A" w:rsidTr="009D4077">
        <w:tc>
          <w:tcPr>
            <w:tcW w:w="4878" w:type="dxa"/>
          </w:tcPr>
          <w:p w:rsidR="00647D7B" w:rsidRPr="009E3E7A" w:rsidRDefault="00647D7B" w:rsidP="009E3E7A">
            <w:pPr>
              <w:pStyle w:val="NoSpacing"/>
              <w:jc w:val="center"/>
              <w:rPr>
                <w:rFonts w:ascii="Rockwell" w:hAnsi="Rockwell"/>
                <w:i/>
                <w:sz w:val="32"/>
              </w:rPr>
            </w:pPr>
            <w:r w:rsidRPr="009E3E7A">
              <w:rPr>
                <w:rFonts w:ascii="Rockwell" w:hAnsi="Rockwell"/>
                <w:i/>
                <w:sz w:val="32"/>
              </w:rPr>
              <w:t>Vegetables</w:t>
            </w:r>
          </w:p>
          <w:p w:rsidR="00647D7B" w:rsidRPr="009E3E7A" w:rsidRDefault="00647D7B" w:rsidP="009E3E7A">
            <w:pPr>
              <w:pStyle w:val="NoSpacing"/>
              <w:jc w:val="center"/>
              <w:rPr>
                <w:rFonts w:ascii="Rockwell" w:hAnsi="Rockwell"/>
                <w:i/>
              </w:rPr>
            </w:pPr>
            <w:r w:rsidRPr="009E3E7A">
              <w:rPr>
                <w:i/>
                <w:noProof/>
              </w:rPr>
              <w:drawing>
                <wp:inline distT="0" distB="0" distL="0" distR="0">
                  <wp:extent cx="1662430" cy="1151890"/>
                  <wp:effectExtent l="19050" t="0" r="0" b="0"/>
                  <wp:docPr id="9" name="Picture 10" descr="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atoes"/>
                          <pic:cNvPicPr>
                            <a:picLocks noChangeAspect="1" noChangeArrowheads="1"/>
                          </pic:cNvPicPr>
                        </pic:nvPicPr>
                        <pic:blipFill>
                          <a:blip r:embed="rId5" cstate="print"/>
                          <a:srcRect/>
                          <a:stretch>
                            <a:fillRect/>
                          </a:stretch>
                        </pic:blipFill>
                        <pic:spPr bwMode="auto">
                          <a:xfrm>
                            <a:off x="0" y="0"/>
                            <a:ext cx="1662430" cy="1151890"/>
                          </a:xfrm>
                          <a:prstGeom prst="rect">
                            <a:avLst/>
                          </a:prstGeom>
                          <a:noFill/>
                          <a:ln w="9525">
                            <a:noFill/>
                            <a:miter lim="800000"/>
                            <a:headEnd/>
                            <a:tailEnd/>
                          </a:ln>
                        </pic:spPr>
                      </pic:pic>
                    </a:graphicData>
                  </a:graphic>
                </wp:inline>
              </w:drawing>
            </w:r>
          </w:p>
          <w:p w:rsidR="00647D7B" w:rsidRPr="009E3E7A" w:rsidRDefault="00647D7B" w:rsidP="009E3E7A">
            <w:pPr>
              <w:pStyle w:val="NoSpacing"/>
              <w:jc w:val="center"/>
              <w:rPr>
                <w:rFonts w:ascii="Rockwell" w:hAnsi="Rockwell"/>
                <w:u w:val="single"/>
              </w:rPr>
            </w:pPr>
            <w:r w:rsidRPr="009E3E7A">
              <w:rPr>
                <w:rFonts w:ascii="Rockwell" w:hAnsi="Rockwell"/>
                <w:u w:val="single"/>
              </w:rPr>
              <w:t>5 Subgroups of Vegetables:</w:t>
            </w:r>
          </w:p>
          <w:p w:rsidR="00647D7B" w:rsidRPr="009E3E7A" w:rsidRDefault="00647D7B" w:rsidP="009E3E7A">
            <w:pPr>
              <w:pStyle w:val="NoSpacing"/>
              <w:jc w:val="center"/>
              <w:rPr>
                <w:rFonts w:ascii="Rockwell" w:hAnsi="Rockwell"/>
                <w:i/>
              </w:rPr>
            </w:pPr>
            <w:r w:rsidRPr="009E3E7A">
              <w:rPr>
                <w:rFonts w:ascii="Rockwell" w:hAnsi="Rockwell"/>
              </w:rPr>
              <w:t xml:space="preserve">Dark green, starchy, red </w:t>
            </w:r>
            <w:r>
              <w:rPr>
                <w:rFonts w:ascii="Rockwell" w:hAnsi="Rockwell"/>
              </w:rPr>
              <w:t>&amp;</w:t>
            </w:r>
            <w:r w:rsidRPr="009E3E7A">
              <w:rPr>
                <w:rFonts w:ascii="Rockwell" w:hAnsi="Rockwell"/>
              </w:rPr>
              <w:t xml:space="preserve"> orange, beans and peas, and other…</w:t>
            </w:r>
          </w:p>
        </w:tc>
        <w:tc>
          <w:tcPr>
            <w:tcW w:w="3510" w:type="dxa"/>
            <w:vMerge w:val="restart"/>
          </w:tcPr>
          <w:p w:rsidR="00647D7B" w:rsidRDefault="00647D7B" w:rsidP="00495672">
            <w:pPr>
              <w:pStyle w:val="NoSpacing"/>
              <w:rPr>
                <w:rFonts w:ascii="Rockwell" w:hAnsi="Rockwell"/>
              </w:rPr>
            </w:pPr>
            <w:r w:rsidRPr="009E3E7A">
              <w:rPr>
                <w:rFonts w:ascii="Rockwell" w:hAnsi="Rockwell"/>
              </w:rPr>
              <w:t>Half your plate should be fruits and veggies.</w:t>
            </w:r>
          </w:p>
          <w:p w:rsidR="00647D7B" w:rsidRDefault="00647D7B" w:rsidP="00495672">
            <w:pPr>
              <w:pStyle w:val="NoSpacing"/>
              <w:rPr>
                <w:rFonts w:ascii="Rockwell" w:hAnsi="Rockwell"/>
              </w:rPr>
            </w:pPr>
          </w:p>
          <w:p w:rsidR="00647D7B" w:rsidRDefault="00647D7B" w:rsidP="00495672">
            <w:pPr>
              <w:pStyle w:val="NoSpacing"/>
              <w:rPr>
                <w:rFonts w:ascii="Rockwell" w:hAnsi="Rockwell"/>
              </w:rPr>
            </w:pPr>
            <w:r>
              <w:rPr>
                <w:rFonts w:ascii="Rockwell" w:hAnsi="Rockwell"/>
              </w:rPr>
              <w:t>May reduce risk heart disease (inc. heart attack and stroke), obesity, type 2 diabetes, high blood pressure, development of kidney stones, and bone loss.</w:t>
            </w:r>
          </w:p>
          <w:p w:rsidR="00647D7B" w:rsidRPr="009E3E7A" w:rsidRDefault="00647D7B" w:rsidP="00495672">
            <w:pPr>
              <w:pStyle w:val="NoSpacing"/>
              <w:rPr>
                <w:rFonts w:ascii="Rockwell" w:hAnsi="Rockwell"/>
              </w:rPr>
            </w:pPr>
          </w:p>
        </w:tc>
        <w:tc>
          <w:tcPr>
            <w:tcW w:w="2538" w:type="dxa"/>
          </w:tcPr>
          <w:p w:rsidR="00647D7B" w:rsidRPr="009E3E7A" w:rsidRDefault="00647D7B" w:rsidP="00495672">
            <w:pPr>
              <w:pStyle w:val="NoSpacing"/>
              <w:rPr>
                <w:rFonts w:ascii="Rockwell" w:hAnsi="Rockwell"/>
              </w:rPr>
            </w:pPr>
            <w:r w:rsidRPr="009E3E7A">
              <w:rPr>
                <w:rFonts w:ascii="Rockwell" w:hAnsi="Rockwell"/>
              </w:rPr>
              <w:t>Any vegetable or 100% vegetable juice.  May be raw or cooked; fresh, frozen, canned, or dried/dehydrated; may be whole, cut-up, or mashed.</w:t>
            </w:r>
          </w:p>
        </w:tc>
      </w:tr>
      <w:tr w:rsidR="00647D7B" w:rsidRPr="009E3E7A" w:rsidTr="009D4077">
        <w:tc>
          <w:tcPr>
            <w:tcW w:w="4878" w:type="dxa"/>
          </w:tcPr>
          <w:p w:rsidR="00647D7B" w:rsidRPr="009E3E7A" w:rsidRDefault="00647D7B" w:rsidP="009E3E7A">
            <w:pPr>
              <w:pStyle w:val="NoSpacing"/>
              <w:jc w:val="center"/>
              <w:rPr>
                <w:rFonts w:ascii="Rockwell" w:hAnsi="Rockwell"/>
                <w:i/>
                <w:sz w:val="32"/>
              </w:rPr>
            </w:pPr>
            <w:r w:rsidRPr="009E3E7A">
              <w:rPr>
                <w:rFonts w:ascii="Rockwell" w:hAnsi="Rockwell"/>
                <w:i/>
                <w:sz w:val="32"/>
              </w:rPr>
              <w:t>Fruits</w:t>
            </w:r>
          </w:p>
          <w:p w:rsidR="00647D7B" w:rsidRPr="009E3E7A" w:rsidRDefault="00647D7B" w:rsidP="009E3E7A">
            <w:pPr>
              <w:pStyle w:val="NoSpacing"/>
              <w:jc w:val="center"/>
              <w:rPr>
                <w:rFonts w:ascii="Rockwell" w:hAnsi="Rockwell"/>
                <w:i/>
              </w:rPr>
            </w:pPr>
            <w:r w:rsidRPr="009E3E7A">
              <w:rPr>
                <w:i/>
                <w:noProof/>
              </w:rPr>
              <w:drawing>
                <wp:inline distT="0" distB="0" distL="0" distR="0">
                  <wp:extent cx="1405989" cy="1493473"/>
                  <wp:effectExtent l="19050" t="0" r="3711" b="0"/>
                  <wp:docPr id="11" name="Picture 7" descr="different fruits on 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erent fruits on forks"/>
                          <pic:cNvPicPr>
                            <a:picLocks noChangeAspect="1" noChangeArrowheads="1"/>
                          </pic:cNvPicPr>
                        </pic:nvPicPr>
                        <pic:blipFill>
                          <a:blip r:embed="rId6" cstate="print"/>
                          <a:srcRect/>
                          <a:stretch>
                            <a:fillRect/>
                          </a:stretch>
                        </pic:blipFill>
                        <pic:spPr bwMode="auto">
                          <a:xfrm>
                            <a:off x="0" y="0"/>
                            <a:ext cx="1411991" cy="1499849"/>
                          </a:xfrm>
                          <a:prstGeom prst="rect">
                            <a:avLst/>
                          </a:prstGeom>
                          <a:noFill/>
                          <a:ln w="9525">
                            <a:noFill/>
                            <a:miter lim="800000"/>
                            <a:headEnd/>
                            <a:tailEnd/>
                          </a:ln>
                        </pic:spPr>
                      </pic:pic>
                    </a:graphicData>
                  </a:graphic>
                </wp:inline>
              </w:drawing>
            </w:r>
          </w:p>
        </w:tc>
        <w:tc>
          <w:tcPr>
            <w:tcW w:w="3510" w:type="dxa"/>
            <w:vMerge/>
          </w:tcPr>
          <w:p w:rsidR="00647D7B" w:rsidRPr="009E3E7A" w:rsidRDefault="00647D7B" w:rsidP="006D371E">
            <w:pPr>
              <w:pStyle w:val="NoSpacing"/>
              <w:rPr>
                <w:rFonts w:ascii="Rockwell" w:hAnsi="Rockwell"/>
              </w:rPr>
            </w:pPr>
          </w:p>
        </w:tc>
        <w:tc>
          <w:tcPr>
            <w:tcW w:w="2538" w:type="dxa"/>
          </w:tcPr>
          <w:p w:rsidR="00647D7B" w:rsidRPr="009E3E7A" w:rsidRDefault="00647D7B" w:rsidP="006D371E">
            <w:pPr>
              <w:pStyle w:val="NoSpacing"/>
              <w:rPr>
                <w:rFonts w:ascii="Rockwell" w:hAnsi="Rockwell"/>
              </w:rPr>
            </w:pPr>
            <w:r w:rsidRPr="009E3E7A">
              <w:rPr>
                <w:rFonts w:ascii="Rockwell" w:hAnsi="Rockwell"/>
              </w:rPr>
              <w:t>Any fruit or 100% fruit juice.  May be fresh, canned, frozen, or dried.  May be whole, cut-up, or pureed.</w:t>
            </w:r>
          </w:p>
        </w:tc>
      </w:tr>
      <w:tr w:rsidR="009E3E7A" w:rsidRPr="009E3E7A" w:rsidTr="009D4077">
        <w:tc>
          <w:tcPr>
            <w:tcW w:w="4878" w:type="dxa"/>
          </w:tcPr>
          <w:p w:rsidR="00FF6E4F" w:rsidRPr="009E3E7A" w:rsidRDefault="00FF6E4F" w:rsidP="009E3E7A">
            <w:pPr>
              <w:pStyle w:val="NoSpacing"/>
              <w:jc w:val="center"/>
              <w:rPr>
                <w:rFonts w:ascii="Rockwell" w:hAnsi="Rockwell"/>
                <w:i/>
                <w:sz w:val="32"/>
              </w:rPr>
            </w:pPr>
            <w:r w:rsidRPr="009E3E7A">
              <w:rPr>
                <w:rFonts w:ascii="Rockwell" w:hAnsi="Rockwell"/>
                <w:i/>
                <w:sz w:val="32"/>
              </w:rPr>
              <w:t>Grains</w:t>
            </w:r>
          </w:p>
          <w:p w:rsidR="00FF6E4F" w:rsidRPr="009E3E7A" w:rsidRDefault="00FF6E4F" w:rsidP="009E3E7A">
            <w:pPr>
              <w:pStyle w:val="NoSpacing"/>
              <w:jc w:val="center"/>
              <w:rPr>
                <w:rFonts w:ascii="Rockwell" w:hAnsi="Rockwell"/>
                <w:i/>
              </w:rPr>
            </w:pPr>
            <w:r w:rsidRPr="009E3E7A">
              <w:rPr>
                <w:i/>
                <w:noProof/>
              </w:rPr>
              <w:drawing>
                <wp:inline distT="0" distB="0" distL="0" distR="0">
                  <wp:extent cx="1533443" cy="1018586"/>
                  <wp:effectExtent l="19050" t="0" r="0" b="0"/>
                  <wp:docPr id="13" name="Picture 13" descr="whole wheat bread sli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ole wheat bread sliced"/>
                          <pic:cNvPicPr>
                            <a:picLocks noChangeAspect="1" noChangeArrowheads="1"/>
                          </pic:cNvPicPr>
                        </pic:nvPicPr>
                        <pic:blipFill>
                          <a:blip r:embed="rId7" cstate="print"/>
                          <a:srcRect/>
                          <a:stretch>
                            <a:fillRect/>
                          </a:stretch>
                        </pic:blipFill>
                        <pic:spPr bwMode="auto">
                          <a:xfrm>
                            <a:off x="0" y="0"/>
                            <a:ext cx="1533247" cy="1018456"/>
                          </a:xfrm>
                          <a:prstGeom prst="rect">
                            <a:avLst/>
                          </a:prstGeom>
                          <a:noFill/>
                          <a:ln w="9525">
                            <a:noFill/>
                            <a:miter lim="800000"/>
                            <a:headEnd/>
                            <a:tailEnd/>
                          </a:ln>
                        </pic:spPr>
                      </pic:pic>
                    </a:graphicData>
                  </a:graphic>
                </wp:inline>
              </w:drawing>
            </w:r>
          </w:p>
          <w:p w:rsidR="00FF6E4F" w:rsidRPr="009E3E7A" w:rsidRDefault="00FF6E4F" w:rsidP="009E3E7A">
            <w:pPr>
              <w:pStyle w:val="NoSpacing"/>
              <w:jc w:val="center"/>
              <w:rPr>
                <w:rFonts w:ascii="Rockwell" w:hAnsi="Rockwell"/>
                <w:u w:val="single"/>
              </w:rPr>
            </w:pPr>
            <w:r w:rsidRPr="009E3E7A">
              <w:rPr>
                <w:rFonts w:ascii="Rockwell" w:hAnsi="Rockwell"/>
                <w:u w:val="single"/>
              </w:rPr>
              <w:t>2 Subgroups of Grains:</w:t>
            </w:r>
          </w:p>
          <w:p w:rsidR="00FF6E4F" w:rsidRPr="009E3E7A" w:rsidRDefault="00FF6E4F" w:rsidP="009E3E7A">
            <w:pPr>
              <w:pStyle w:val="NoSpacing"/>
              <w:jc w:val="center"/>
              <w:rPr>
                <w:rFonts w:ascii="Rockwell" w:hAnsi="Rockwell"/>
                <w:i/>
              </w:rPr>
            </w:pPr>
            <w:r w:rsidRPr="009E3E7A">
              <w:rPr>
                <w:rFonts w:ascii="Rockwell" w:hAnsi="Rockwell"/>
              </w:rPr>
              <w:t>Whole and Refined…</w:t>
            </w:r>
          </w:p>
        </w:tc>
        <w:tc>
          <w:tcPr>
            <w:tcW w:w="3510" w:type="dxa"/>
          </w:tcPr>
          <w:p w:rsidR="00FF6E4F" w:rsidRPr="009E3E7A" w:rsidRDefault="00FF6E4F" w:rsidP="00495672">
            <w:pPr>
              <w:pStyle w:val="NoSpacing"/>
              <w:rPr>
                <w:rFonts w:ascii="Rockwell" w:hAnsi="Rockwell"/>
              </w:rPr>
            </w:pPr>
            <w:r w:rsidRPr="009E3E7A">
              <w:rPr>
                <w:rFonts w:ascii="Rockwell" w:hAnsi="Rockwell"/>
              </w:rPr>
              <w:t>Very filling and good for the heart.</w:t>
            </w:r>
          </w:p>
          <w:p w:rsidR="00FF6E4F" w:rsidRPr="009E3E7A" w:rsidRDefault="00FF6E4F" w:rsidP="00495672">
            <w:pPr>
              <w:pStyle w:val="NoSpacing"/>
              <w:rPr>
                <w:rFonts w:ascii="Rockwell" w:hAnsi="Rockwell"/>
                <w:b/>
              </w:rPr>
            </w:pPr>
            <w:r w:rsidRPr="009E3E7A">
              <w:rPr>
                <w:rFonts w:ascii="Rockwell" w:hAnsi="Rockwell"/>
              </w:rPr>
              <w:t>At least half of your grains should be whole rains (i.e. oatmeal and brown rice).</w:t>
            </w:r>
          </w:p>
        </w:tc>
        <w:tc>
          <w:tcPr>
            <w:tcW w:w="2538" w:type="dxa"/>
          </w:tcPr>
          <w:p w:rsidR="00FF6E4F" w:rsidRPr="009E3E7A" w:rsidRDefault="00FF6E4F" w:rsidP="00495672">
            <w:pPr>
              <w:pStyle w:val="NoSpacing"/>
              <w:rPr>
                <w:rFonts w:ascii="Rockwell" w:hAnsi="Rockwell"/>
              </w:rPr>
            </w:pPr>
            <w:r w:rsidRPr="009E3E7A">
              <w:rPr>
                <w:rFonts w:ascii="Rockwell" w:hAnsi="Rockwell"/>
              </w:rPr>
              <w:t>Food containing wheat, rice, oats, cornmeal, barley or another cereal grain.  Bread, pasta, oatmeal, breakfast cereals, tortillas, and grits…</w:t>
            </w:r>
          </w:p>
        </w:tc>
      </w:tr>
      <w:tr w:rsidR="009E3E7A" w:rsidRPr="009E3E7A" w:rsidTr="009D4077">
        <w:tc>
          <w:tcPr>
            <w:tcW w:w="4878" w:type="dxa"/>
          </w:tcPr>
          <w:p w:rsidR="00FF6E4F" w:rsidRPr="009E3E7A" w:rsidRDefault="00FF6E4F" w:rsidP="009E3E7A">
            <w:pPr>
              <w:pStyle w:val="NoSpacing"/>
              <w:jc w:val="center"/>
              <w:rPr>
                <w:rFonts w:ascii="Rockwell" w:hAnsi="Rockwell"/>
                <w:i/>
                <w:sz w:val="32"/>
              </w:rPr>
            </w:pPr>
            <w:r w:rsidRPr="009E3E7A">
              <w:rPr>
                <w:rFonts w:ascii="Rockwell" w:hAnsi="Rockwell"/>
                <w:i/>
                <w:sz w:val="32"/>
              </w:rPr>
              <w:t>Protein</w:t>
            </w:r>
          </w:p>
          <w:p w:rsidR="00136202" w:rsidRPr="009E3E7A" w:rsidRDefault="00136202" w:rsidP="009E3E7A">
            <w:pPr>
              <w:pStyle w:val="NoSpacing"/>
              <w:jc w:val="center"/>
              <w:rPr>
                <w:rFonts w:ascii="Rockwell" w:hAnsi="Rockwell"/>
                <w:i/>
              </w:rPr>
            </w:pPr>
            <w:r w:rsidRPr="009E3E7A">
              <w:rPr>
                <w:i/>
                <w:noProof/>
              </w:rPr>
              <w:drawing>
                <wp:inline distT="0" distB="0" distL="0" distR="0">
                  <wp:extent cx="1999755" cy="1533383"/>
                  <wp:effectExtent l="19050" t="0" r="495" b="0"/>
                  <wp:docPr id="16" name="Picture 16" descr="bowl of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wl of stew"/>
                          <pic:cNvPicPr>
                            <a:picLocks noChangeAspect="1" noChangeArrowheads="1"/>
                          </pic:cNvPicPr>
                        </pic:nvPicPr>
                        <pic:blipFill>
                          <a:blip r:embed="rId8" cstate="print"/>
                          <a:srcRect/>
                          <a:stretch>
                            <a:fillRect/>
                          </a:stretch>
                        </pic:blipFill>
                        <pic:spPr bwMode="auto">
                          <a:xfrm>
                            <a:off x="0" y="0"/>
                            <a:ext cx="1999926" cy="1533514"/>
                          </a:xfrm>
                          <a:prstGeom prst="rect">
                            <a:avLst/>
                          </a:prstGeom>
                          <a:noFill/>
                          <a:ln w="9525">
                            <a:noFill/>
                            <a:miter lim="800000"/>
                            <a:headEnd/>
                            <a:tailEnd/>
                          </a:ln>
                        </pic:spPr>
                      </pic:pic>
                    </a:graphicData>
                  </a:graphic>
                </wp:inline>
              </w:drawing>
            </w:r>
          </w:p>
        </w:tc>
        <w:tc>
          <w:tcPr>
            <w:tcW w:w="3510" w:type="dxa"/>
          </w:tcPr>
          <w:p w:rsidR="00FF6E4F" w:rsidRPr="009E3E7A" w:rsidRDefault="00136202" w:rsidP="00495672">
            <w:pPr>
              <w:pStyle w:val="NoSpacing"/>
              <w:rPr>
                <w:rFonts w:ascii="Rockwell" w:hAnsi="Rockwell"/>
              </w:rPr>
            </w:pPr>
            <w:r w:rsidRPr="009E3E7A">
              <w:rPr>
                <w:rFonts w:ascii="Rockwell" w:hAnsi="Rockwell"/>
              </w:rPr>
              <w:t>Building blocks for bones, muscles, cartilage, skin, and blood – also enzymes, hormones, and vitamins.</w:t>
            </w:r>
          </w:p>
          <w:p w:rsidR="00136202" w:rsidRPr="009E3E7A" w:rsidRDefault="00136202" w:rsidP="00495672">
            <w:pPr>
              <w:pStyle w:val="NoSpacing"/>
              <w:rPr>
                <w:rFonts w:ascii="Rockwell" w:hAnsi="Rockwell"/>
              </w:rPr>
            </w:pPr>
            <w:r w:rsidRPr="009E3E7A">
              <w:rPr>
                <w:rFonts w:ascii="Rockwell" w:hAnsi="Rockwell"/>
              </w:rPr>
              <w:t>B Vitamins in protein help the body release energy, support the nervous system, help form red blood cells, and help build tissues.</w:t>
            </w:r>
          </w:p>
          <w:p w:rsidR="00136202" w:rsidRPr="009E3E7A" w:rsidRDefault="00136202" w:rsidP="009E3E7A">
            <w:pPr>
              <w:pStyle w:val="NoSpacing"/>
              <w:rPr>
                <w:rFonts w:ascii="Rockwell" w:hAnsi="Rockwell"/>
              </w:rPr>
            </w:pPr>
            <w:r w:rsidRPr="009E3E7A">
              <w:rPr>
                <w:rFonts w:ascii="Rockwell" w:hAnsi="Rockwell"/>
              </w:rPr>
              <w:t xml:space="preserve">Include at least 8 </w:t>
            </w:r>
            <w:r w:rsidR="009E3E7A" w:rsidRPr="009E3E7A">
              <w:rPr>
                <w:rFonts w:ascii="Rockwell" w:hAnsi="Rockwell"/>
              </w:rPr>
              <w:t>oz.</w:t>
            </w:r>
            <w:r w:rsidRPr="009E3E7A">
              <w:rPr>
                <w:rFonts w:ascii="Rockwell" w:hAnsi="Rockwell"/>
              </w:rPr>
              <w:t xml:space="preserve"> of seafood</w:t>
            </w:r>
            <w:r w:rsidR="009E3E7A" w:rsidRPr="009E3E7A">
              <w:rPr>
                <w:rFonts w:ascii="Rockwell" w:hAnsi="Rockwell"/>
              </w:rPr>
              <w:t>/week.</w:t>
            </w:r>
          </w:p>
        </w:tc>
        <w:tc>
          <w:tcPr>
            <w:tcW w:w="2538" w:type="dxa"/>
          </w:tcPr>
          <w:p w:rsidR="00FF6E4F" w:rsidRPr="009E3E7A" w:rsidRDefault="00136202" w:rsidP="00495672">
            <w:pPr>
              <w:pStyle w:val="NoSpacing"/>
              <w:rPr>
                <w:rFonts w:ascii="Rockwell" w:hAnsi="Rockwell"/>
              </w:rPr>
            </w:pPr>
            <w:r w:rsidRPr="009E3E7A">
              <w:rPr>
                <w:rFonts w:ascii="Rockwell" w:hAnsi="Rockwell"/>
              </w:rPr>
              <w:t>Food made from meat, poultry (chicken), seafood, beans and peas, eggs, processed soy products, nuts, and seeds.</w:t>
            </w:r>
          </w:p>
        </w:tc>
      </w:tr>
      <w:tr w:rsidR="009E3E7A" w:rsidRPr="009E3E7A" w:rsidTr="009D4077">
        <w:tc>
          <w:tcPr>
            <w:tcW w:w="4878" w:type="dxa"/>
          </w:tcPr>
          <w:p w:rsidR="00FF6E4F" w:rsidRPr="009E3E7A" w:rsidRDefault="00FF6E4F" w:rsidP="009E3E7A">
            <w:pPr>
              <w:pStyle w:val="NoSpacing"/>
              <w:jc w:val="center"/>
              <w:rPr>
                <w:rFonts w:ascii="Rockwell" w:hAnsi="Rockwell"/>
                <w:i/>
                <w:sz w:val="32"/>
              </w:rPr>
            </w:pPr>
            <w:r w:rsidRPr="009E3E7A">
              <w:rPr>
                <w:rFonts w:ascii="Rockwell" w:hAnsi="Rockwell"/>
                <w:i/>
                <w:sz w:val="32"/>
              </w:rPr>
              <w:t>Dairy</w:t>
            </w:r>
          </w:p>
          <w:p w:rsidR="00136202" w:rsidRPr="009E3E7A" w:rsidRDefault="00136202" w:rsidP="009E3E7A">
            <w:pPr>
              <w:pStyle w:val="NoSpacing"/>
              <w:jc w:val="center"/>
              <w:rPr>
                <w:rFonts w:ascii="Rockwell" w:hAnsi="Rockwell"/>
                <w:i/>
              </w:rPr>
            </w:pPr>
            <w:r w:rsidRPr="009E3E7A">
              <w:rPr>
                <w:i/>
                <w:noProof/>
              </w:rPr>
              <w:drawing>
                <wp:inline distT="0" distB="0" distL="0" distR="0">
                  <wp:extent cx="1662430" cy="1139825"/>
                  <wp:effectExtent l="0" t="0" r="0" b="0"/>
                  <wp:docPr id="19" name="Picture 19" descr="swiss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iss cheese"/>
                          <pic:cNvPicPr>
                            <a:picLocks noChangeAspect="1" noChangeArrowheads="1"/>
                          </pic:cNvPicPr>
                        </pic:nvPicPr>
                        <pic:blipFill>
                          <a:blip r:embed="rId9" cstate="print"/>
                          <a:srcRect/>
                          <a:stretch>
                            <a:fillRect/>
                          </a:stretch>
                        </pic:blipFill>
                        <pic:spPr bwMode="auto">
                          <a:xfrm>
                            <a:off x="0" y="0"/>
                            <a:ext cx="1662430" cy="1139825"/>
                          </a:xfrm>
                          <a:prstGeom prst="rect">
                            <a:avLst/>
                          </a:prstGeom>
                          <a:noFill/>
                          <a:ln w="9525">
                            <a:noFill/>
                            <a:miter lim="800000"/>
                            <a:headEnd/>
                            <a:tailEnd/>
                          </a:ln>
                        </pic:spPr>
                      </pic:pic>
                    </a:graphicData>
                  </a:graphic>
                </wp:inline>
              </w:drawing>
            </w:r>
          </w:p>
        </w:tc>
        <w:tc>
          <w:tcPr>
            <w:tcW w:w="3510" w:type="dxa"/>
          </w:tcPr>
          <w:p w:rsidR="00FF6E4F" w:rsidRPr="009E3E7A" w:rsidRDefault="00FF6E4F" w:rsidP="00495672">
            <w:pPr>
              <w:pStyle w:val="NoSpacing"/>
              <w:rPr>
                <w:rFonts w:ascii="Rockwell" w:hAnsi="Rockwell"/>
              </w:rPr>
            </w:pPr>
            <w:r w:rsidRPr="009E3E7A">
              <w:rPr>
                <w:rFonts w:ascii="Rockwell" w:hAnsi="Rockwell"/>
              </w:rPr>
              <w:t>Good for your bones and teeth</w:t>
            </w:r>
            <w:r w:rsidR="00136202" w:rsidRPr="009E3E7A">
              <w:rPr>
                <w:rFonts w:ascii="Rockwell" w:hAnsi="Rockwell"/>
              </w:rPr>
              <w:t>.</w:t>
            </w:r>
          </w:p>
          <w:p w:rsidR="00136202" w:rsidRPr="009E3E7A" w:rsidRDefault="00136202" w:rsidP="00495672">
            <w:pPr>
              <w:pStyle w:val="NoSpacing"/>
              <w:rPr>
                <w:rFonts w:ascii="Rockwell" w:hAnsi="Rockwell"/>
              </w:rPr>
            </w:pPr>
            <w:r w:rsidRPr="009E3E7A">
              <w:rPr>
                <w:rFonts w:ascii="Rockwell" w:hAnsi="Rockwell"/>
              </w:rPr>
              <w:t>Especially important during childhood as bone mass is being built.</w:t>
            </w:r>
          </w:p>
          <w:p w:rsidR="00136202" w:rsidRPr="009E3E7A" w:rsidRDefault="00136202" w:rsidP="00136202">
            <w:pPr>
              <w:pStyle w:val="NoSpacing"/>
              <w:rPr>
                <w:rFonts w:ascii="Rockwell" w:hAnsi="Rockwell"/>
              </w:rPr>
            </w:pPr>
            <w:r w:rsidRPr="009E3E7A">
              <w:rPr>
                <w:rFonts w:ascii="Rockwell" w:hAnsi="Rockwell"/>
              </w:rPr>
              <w:t>Reduces risk of osteoporosis, cardiovascular disease, type 2 diabetes, and high blood pressure.</w:t>
            </w:r>
          </w:p>
        </w:tc>
        <w:tc>
          <w:tcPr>
            <w:tcW w:w="2538" w:type="dxa"/>
          </w:tcPr>
          <w:p w:rsidR="00FF6E4F" w:rsidRPr="009E3E7A" w:rsidRDefault="00FF6E4F" w:rsidP="00495672">
            <w:pPr>
              <w:pStyle w:val="NoSpacing"/>
              <w:rPr>
                <w:rFonts w:ascii="Rockwell" w:hAnsi="Rockwell"/>
              </w:rPr>
            </w:pPr>
            <w:r w:rsidRPr="009E3E7A">
              <w:rPr>
                <w:rFonts w:ascii="Rockwell" w:hAnsi="Rockwell"/>
              </w:rPr>
              <w:t>Milk (try 1% or nonfat instead of whole!)</w:t>
            </w:r>
            <w:r w:rsidR="00136202" w:rsidRPr="009E3E7A">
              <w:rPr>
                <w:rFonts w:ascii="Rockwell" w:hAnsi="Rockwell"/>
              </w:rPr>
              <w:t>, foods made from milk such as cream cheese, cream, and butter.</w:t>
            </w:r>
          </w:p>
        </w:tc>
      </w:tr>
    </w:tbl>
    <w:p w:rsidR="00495672" w:rsidRPr="009E3E7A" w:rsidRDefault="00136202" w:rsidP="00495672">
      <w:pPr>
        <w:pStyle w:val="NoSpacing"/>
        <w:ind w:left="90"/>
        <w:rPr>
          <w:rFonts w:ascii="Rockwell" w:hAnsi="Rockwell"/>
          <w:sz w:val="20"/>
        </w:rPr>
      </w:pPr>
      <w:r w:rsidRPr="009E3E7A">
        <w:rPr>
          <w:rFonts w:ascii="Rockwell" w:hAnsi="Rockwell"/>
          <w:sz w:val="20"/>
        </w:rPr>
        <w:lastRenderedPageBreak/>
        <w:t>*Oils are included in USDA food patterns because they provide essential nutrients.  Oils are fats that are liquid at room temperature (i.e. vegetable oils used in cooking) and come from many different plants and fish.</w:t>
      </w:r>
    </w:p>
    <w:p w:rsidR="00136202" w:rsidRDefault="00136202" w:rsidP="00495672">
      <w:pPr>
        <w:pStyle w:val="NoSpacing"/>
        <w:ind w:left="90"/>
        <w:rPr>
          <w:rFonts w:ascii="Rockwell" w:hAnsi="Rockwell"/>
          <w:sz w:val="28"/>
          <w:szCs w:val="28"/>
        </w:rPr>
      </w:pPr>
    </w:p>
    <w:p w:rsidR="00136202" w:rsidRDefault="000F1444" w:rsidP="00136202">
      <w:pPr>
        <w:pStyle w:val="NoSpacing"/>
        <w:ind w:left="90"/>
        <w:rPr>
          <w:rFonts w:ascii="Rockwell" w:hAnsi="Rockwell"/>
          <w:sz w:val="28"/>
          <w:szCs w:val="28"/>
        </w:rPr>
      </w:pPr>
      <w:r>
        <w:rPr>
          <w:noProof/>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0</wp:posOffset>
            </wp:positionV>
            <wp:extent cx="3412490" cy="3312795"/>
            <wp:effectExtent l="19050" t="0" r="0" b="0"/>
            <wp:wrapNone/>
            <wp:docPr id="22" name="Picture 22" descr="http://www.seattlechildrens.org/kids-health/kid/body/images_55926/1079619327186.GI_system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eattlechildrens.org/kids-health/kid/body/images_55926/1079619327186.GI_system275.gif"/>
                    <pic:cNvPicPr>
                      <a:picLocks noChangeAspect="1" noChangeArrowheads="1"/>
                    </pic:cNvPicPr>
                  </pic:nvPicPr>
                  <pic:blipFill>
                    <a:blip r:embed="rId10" cstate="print"/>
                    <a:srcRect/>
                    <a:stretch>
                      <a:fillRect/>
                    </a:stretch>
                  </pic:blipFill>
                  <pic:spPr bwMode="auto">
                    <a:xfrm>
                      <a:off x="0" y="0"/>
                      <a:ext cx="3412490" cy="3312795"/>
                    </a:xfrm>
                    <a:prstGeom prst="rect">
                      <a:avLst/>
                    </a:prstGeom>
                    <a:noFill/>
                    <a:ln w="9525">
                      <a:noFill/>
                      <a:miter lim="800000"/>
                      <a:headEnd/>
                      <a:tailEnd/>
                    </a:ln>
                  </pic:spPr>
                </pic:pic>
              </a:graphicData>
            </a:graphic>
          </wp:anchor>
        </w:drawing>
      </w:r>
      <w:r w:rsidR="00495672">
        <w:rPr>
          <w:noProof/>
        </w:rPr>
        <w:drawing>
          <wp:inline distT="0" distB="0" distL="0" distR="0">
            <wp:extent cx="3683811" cy="3372592"/>
            <wp:effectExtent l="19050" t="0" r="0" b="0"/>
            <wp:docPr id="2" name="Picture 4" descr="http://nourishinteractive.com/system/assets/kids/games/24/en-large.jpg?132345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urishinteractive.com/system/assets/kids/games/24/en-large.jpg?1323454651"/>
                    <pic:cNvPicPr>
                      <a:picLocks noChangeAspect="1" noChangeArrowheads="1"/>
                    </pic:cNvPicPr>
                  </pic:nvPicPr>
                  <pic:blipFill>
                    <a:blip r:embed="rId11" cstate="print"/>
                    <a:srcRect/>
                    <a:stretch>
                      <a:fillRect/>
                    </a:stretch>
                  </pic:blipFill>
                  <pic:spPr bwMode="auto">
                    <a:xfrm>
                      <a:off x="0" y="0"/>
                      <a:ext cx="3686051" cy="3372592"/>
                    </a:xfrm>
                    <a:prstGeom prst="rect">
                      <a:avLst/>
                    </a:prstGeom>
                    <a:noFill/>
                    <a:ln w="9525">
                      <a:noFill/>
                      <a:miter lim="800000"/>
                      <a:headEnd/>
                      <a:tailEnd/>
                    </a:ln>
                  </pic:spPr>
                </pic:pic>
              </a:graphicData>
            </a:graphic>
          </wp:inline>
        </w:drawing>
      </w:r>
      <w:r w:rsidR="00495672">
        <w:rPr>
          <w:rFonts w:ascii="Rockwell" w:hAnsi="Rockwell"/>
          <w:sz w:val="28"/>
          <w:szCs w:val="28"/>
        </w:rPr>
        <w:t xml:space="preserve"> </w:t>
      </w:r>
    </w:p>
    <w:p w:rsidR="00FF6E4F" w:rsidRDefault="00FF6E4F" w:rsidP="00495672">
      <w:pPr>
        <w:pStyle w:val="NoSpacing"/>
        <w:ind w:left="90"/>
        <w:rPr>
          <w:rFonts w:ascii="Rockwell" w:hAnsi="Rockwell"/>
          <w:sz w:val="28"/>
          <w:szCs w:val="28"/>
        </w:rPr>
      </w:pPr>
    </w:p>
    <w:p w:rsidR="00FF6E4F" w:rsidRDefault="00FF6E4F" w:rsidP="00495672">
      <w:pPr>
        <w:pStyle w:val="NoSpacing"/>
        <w:ind w:left="90"/>
        <w:rPr>
          <w:rFonts w:ascii="Rockwell" w:hAnsi="Rockwell"/>
          <w:sz w:val="28"/>
          <w:szCs w:val="28"/>
        </w:rPr>
      </w:pPr>
      <w:r>
        <w:rPr>
          <w:rFonts w:ascii="Rockwell" w:hAnsi="Rockwell"/>
          <w:sz w:val="28"/>
          <w:szCs w:val="28"/>
        </w:rPr>
        <w:t>Resources:</w:t>
      </w:r>
    </w:p>
    <w:p w:rsidR="00FF6E4F" w:rsidRDefault="00FF6E4F" w:rsidP="00495672">
      <w:pPr>
        <w:pStyle w:val="NoSpacing"/>
        <w:ind w:left="90"/>
        <w:rPr>
          <w:rFonts w:ascii="Rockwell" w:hAnsi="Rockwell"/>
          <w:sz w:val="28"/>
          <w:szCs w:val="28"/>
        </w:rPr>
      </w:pPr>
      <w:r>
        <w:rPr>
          <w:rFonts w:ascii="Rockwell" w:hAnsi="Rockwell"/>
          <w:sz w:val="28"/>
          <w:szCs w:val="28"/>
        </w:rPr>
        <w:t>Choosemyplate.gov</w:t>
      </w:r>
    </w:p>
    <w:p w:rsidR="000F1444" w:rsidRPr="00495672" w:rsidRDefault="000F1444" w:rsidP="00495672">
      <w:pPr>
        <w:pStyle w:val="NoSpacing"/>
        <w:ind w:left="90"/>
        <w:rPr>
          <w:rFonts w:ascii="Rockwell" w:hAnsi="Rockwell"/>
          <w:sz w:val="28"/>
          <w:szCs w:val="28"/>
        </w:rPr>
      </w:pPr>
      <w:r>
        <w:rPr>
          <w:rFonts w:ascii="Rockwell" w:hAnsi="Rockwell"/>
          <w:sz w:val="28"/>
          <w:szCs w:val="28"/>
        </w:rPr>
        <w:t xml:space="preserve">Digestive System </w:t>
      </w:r>
      <w:proofErr w:type="spellStart"/>
      <w:r>
        <w:rPr>
          <w:rFonts w:ascii="Rockwell" w:hAnsi="Rockwell"/>
          <w:sz w:val="28"/>
          <w:szCs w:val="28"/>
        </w:rPr>
        <w:t>SMARTBoard</w:t>
      </w:r>
      <w:proofErr w:type="spellEnd"/>
      <w:r>
        <w:rPr>
          <w:rFonts w:ascii="Rockwell" w:hAnsi="Rockwell"/>
          <w:sz w:val="28"/>
          <w:szCs w:val="28"/>
        </w:rPr>
        <w:t xml:space="preserve"> Lesson</w:t>
      </w:r>
    </w:p>
    <w:sectPr w:rsidR="000F1444" w:rsidRPr="00495672" w:rsidSect="004956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719D"/>
    <w:multiLevelType w:val="hybridMultilevel"/>
    <w:tmpl w:val="EB604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65AFD"/>
    <w:multiLevelType w:val="hybridMultilevel"/>
    <w:tmpl w:val="04BA96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95672"/>
    <w:rsid w:val="0000741E"/>
    <w:rsid w:val="000F1444"/>
    <w:rsid w:val="00136202"/>
    <w:rsid w:val="00136D6C"/>
    <w:rsid w:val="002A0725"/>
    <w:rsid w:val="00467E5D"/>
    <w:rsid w:val="00495672"/>
    <w:rsid w:val="00631C7E"/>
    <w:rsid w:val="00647D7B"/>
    <w:rsid w:val="008C1CF3"/>
    <w:rsid w:val="009D4077"/>
    <w:rsid w:val="009E3E7A"/>
    <w:rsid w:val="00FF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72"/>
    <w:rPr>
      <w:rFonts w:ascii="Tahoma" w:hAnsi="Tahoma" w:cs="Tahoma"/>
      <w:sz w:val="16"/>
      <w:szCs w:val="16"/>
    </w:rPr>
  </w:style>
  <w:style w:type="paragraph" w:styleId="NoSpacing">
    <w:name w:val="No Spacing"/>
    <w:uiPriority w:val="1"/>
    <w:qFormat/>
    <w:rsid w:val="00495672"/>
    <w:pPr>
      <w:spacing w:after="0" w:line="240" w:lineRule="auto"/>
    </w:pPr>
  </w:style>
  <w:style w:type="table" w:styleId="TableGrid">
    <w:name w:val="Table Grid"/>
    <w:basedOn w:val="TableNormal"/>
    <w:uiPriority w:val="59"/>
    <w:rsid w:val="0049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5</cp:revision>
  <dcterms:created xsi:type="dcterms:W3CDTF">2014-01-06T22:28:00Z</dcterms:created>
  <dcterms:modified xsi:type="dcterms:W3CDTF">2014-01-07T01:07:00Z</dcterms:modified>
</cp:coreProperties>
</file>